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242B0" w14:textId="77777777" w:rsidR="003E19AA" w:rsidRPr="003E19AA" w:rsidRDefault="003E19AA" w:rsidP="003E19AA">
      <w:pPr>
        <w:shd w:val="clear" w:color="auto" w:fill="FFFFFF"/>
        <w:outlineLvl w:val="0"/>
        <w:rPr>
          <w:rFonts w:eastAsia="Times New Roman" w:cstheme="minorHAnsi"/>
          <w:b/>
          <w:bCs/>
          <w:color w:val="000000" w:themeColor="text1"/>
          <w:kern w:val="36"/>
          <w:sz w:val="28"/>
          <w:szCs w:val="28"/>
          <w:lang w:eastAsia="fr-FR"/>
        </w:rPr>
      </w:pPr>
      <w:r w:rsidRPr="003E19AA">
        <w:rPr>
          <w:rFonts w:eastAsia="Times New Roman" w:cstheme="minorHAnsi"/>
          <w:b/>
          <w:bCs/>
          <w:color w:val="000000" w:themeColor="text1"/>
          <w:kern w:val="36"/>
          <w:sz w:val="28"/>
          <w:szCs w:val="28"/>
          <w:lang w:eastAsia="fr-FR"/>
        </w:rPr>
        <w:t>Déchets &amp; seconde fusion : déconnexion des fondamentaux</w:t>
      </w:r>
    </w:p>
    <w:p w14:paraId="3C19C10E" w14:textId="77777777" w:rsidR="003E19AA" w:rsidRPr="003E19AA" w:rsidRDefault="003E19AA" w:rsidP="003E19AA">
      <w:pPr>
        <w:rPr>
          <w:rFonts w:eastAsia="Times New Roman" w:cstheme="minorHAnsi"/>
          <w:i/>
          <w:iCs/>
          <w:color w:val="000000"/>
          <w:lang w:eastAsia="fr-FR"/>
        </w:rPr>
      </w:pPr>
    </w:p>
    <w:p w14:paraId="16E7C76B" w14:textId="0F1F3AA7" w:rsidR="003E19AA" w:rsidRPr="003E19AA" w:rsidRDefault="003E19AA" w:rsidP="003E19AA">
      <w:pPr>
        <w:rPr>
          <w:rFonts w:eastAsia="Times New Roman" w:cstheme="minorHAnsi"/>
          <w:lang w:eastAsia="fr-FR"/>
        </w:rPr>
      </w:pPr>
      <w:r w:rsidRPr="003E19AA">
        <w:rPr>
          <w:rFonts w:eastAsia="Times New Roman" w:cstheme="minorHAnsi"/>
          <w:color w:val="000000"/>
          <w:shd w:val="clear" w:color="auto" w:fill="FFFFFF"/>
          <w:lang w:eastAsia="fr-FR"/>
        </w:rPr>
        <w:t>Encore beaucoup d’agitation sur le marché des déchets métalliques et des lingots de seconde fusion. Les hausses constatées ; notamment sur le cuivre, mais plus encore sur les aluminium d’affinage, n’ont plus grand-chose de cohérent avec les fondamentaux du moment. La Bourse anticipe probablement une reprise économique qui, si elle n’est pas au rendez-vous, se soldera par un recul à la hauteur des gains obtenus ces dernières semaines. La pause aura été de courte durée pour la cotation DIN 226 qui s’inscrit de nouveau en hausse avec un gain de plus de 100 euros en l’espace d’une semaine, à 1980/2050 euros. La cotation de l’AS9U3 par La Tribune des Métaux progresse dans les mêmes proportions, à 1850/1950 euros. </w:t>
      </w:r>
    </w:p>
    <w:p w14:paraId="4EAD61E7" w14:textId="77777777" w:rsidR="00BF1F6A" w:rsidRDefault="00BF1F6A"/>
    <w:sectPr w:rsidR="00BF1F6A"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AA"/>
    <w:rsid w:val="000F156F"/>
    <w:rsid w:val="003E19AA"/>
    <w:rsid w:val="00BF1F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ED890BE"/>
  <w15:chartTrackingRefBased/>
  <w15:docId w15:val="{DB741303-6A61-BD48-85E3-309A0E67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E19A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19AA"/>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3E19AA"/>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E1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91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658</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2021-03-03T08:09:00Z</dcterms:created>
  <dcterms:modified xsi:type="dcterms:W3CDTF">2021-03-03T08:11:00Z</dcterms:modified>
</cp:coreProperties>
</file>